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Östra Göinge kommunfullmäktige</w:t>
      </w:r>
    </w:p>
    <w:p>
      <w:pPr>
        <w:pStyle w:val="Heading1"/>
      </w:pPr>
      <w:r>
        <w:t xml:space="preserve">Mobilfria skoldagar i grundskolan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Östra Göinge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Skolverkets statistik visar att Östra Göinge har lägre meritvärden än rikssnitt. Studiero störs av mobiltelefoner enligt lärarenkäter (källa: Skolverket 2023).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Östra Göinge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om mobilförbud under skoltid i kommunens grundskolor.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skolor ska tillhandahålla låsbara förvaringsplatser.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undantag medges endast vid medicinska skäl.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uppföljning sker i skolplanen 2027.</w:t>
      </w:r>
    </w:p>
    <w:p>
      <w:pPr>
        <w:spacing w:before="360"/>
      </w:pPr>
    </w:p>
    <w:p>
      <w:r>
        <w:t xml:space="preserve">Östra Göinge,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Östra Göinge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2026-07-14T02:08:35.117Z</dcterms:created>
  <dcterms:modified xsi:type="dcterms:W3CDTF">2026-07-14T02:08:35.117Z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