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Landskrona kommunfullmäktige</w:t>
      </w:r>
    </w:p>
    <w:p>
      <w:pPr>
        <w:pStyle w:val="Heading1"/>
      </w:pPr>
      <w:r>
        <w:t xml:space="preserve">Stärkt ungdomsmottagning för psykisk hälsa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Landskrona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Skånes statistik visar att psykisk ohälsa bland unga 13–19 år i Landskrona ökat med 18 % sedan 2022. Köerna till ungdomsmottagningen är långa.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Landskrona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tillföra 500 000 kronor årligen för utökad kapacitet vid ungdomsmottagningen.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drop-in tider införs två kvällar per vecka.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skolhälsovården stärks.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uppföljning av kötid och besöksantal redovisas årligen.</w:t>
      </w:r>
    </w:p>
    <w:p>
      <w:pPr>
        <w:spacing w:before="360"/>
      </w:pPr>
    </w:p>
    <w:p>
      <w:r>
        <w:t xml:space="preserve">Landskrona,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Landskrona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2026-07-14T00:35:14.897Z</dcterms:created>
  <dcterms:modified xsi:type="dcterms:W3CDTF">2026-07-14T00:35:14.897Z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