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Höganäs kommunfullmäktige</w:t>
      </w:r>
    </w:p>
    <w:p>
      <w:pPr>
        <w:pStyle w:val="Heading1"/>
      </w:pPr>
      <w:r>
        <w:t xml:space="preserve">Stödja nattvandringar och lokalt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Höganäs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rapporterar ökad oro för brott i centrala Höganäs kvällstid. Civilsamhällets engagemang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Höganäs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medel för stöd till ideella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föreningsliv formaliseras i en trygghetsgrupp.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och kameror prioriteras på identifierade 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rapport lämnas till kommunfullmäktige.</w:t>
      </w:r>
    </w:p>
    <w:p>
      <w:pPr>
        <w:spacing w:before="360"/>
      </w:pPr>
    </w:p>
    <w:p>
      <w:r>
        <w:t xml:space="preserve">Höganäs,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Höganäs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2026-07-14T00:17:57.486Z</dcterms:created>
  <dcterms:modified xsi:type="dcterms:W3CDTF">2026-07-14T00:17:57.486Z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