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Helsingborg kommunfullmäktige</w:t>
      </w:r>
    </w:p>
    <w:p>
      <w:pPr>
        <w:pStyle w:val="Heading1"/>
      </w:pPr>
      <w:r>
        <w:t xml:space="preserve">Ökat stöd till idrotts- och kulturföreningar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Helsingborg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Föreningslivet i Helsingborg har drabbats av ökade kostnader. 2025 års budget gav endast 2,8 % ökning till kultur och idrott trots inflation. Civilsamhället är en viktig del av integration och trygghet.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Helsingborg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kulturnämnden ska höja föreningsstödet med 15 %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ett särskilt integrationsbidrag införs för föreningar som arbetar med nyanlända.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redovisning av användningen ska ske årligen.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deltagande mäts via Kolada-indikatorer.</w:t>
      </w:r>
    </w:p>
    <w:p>
      <w:pPr>
        <w:spacing w:before="360"/>
      </w:pPr>
    </w:p>
    <w:p>
      <w:r>
        <w:t xml:space="preserve">Helsingborg,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Helsingborg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2026-07-14T00:10:17.175Z</dcterms:created>
  <dcterms:modified xsi:type="dcterms:W3CDTF">2026-07-14T00:10:17.175Z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