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Helsingborg kommunfullmäktige</w:t>
      </w:r>
    </w:p>
    <w:p>
      <w:pPr>
        <w:pStyle w:val="Heading1"/>
      </w:pPr>
      <w:r>
        <w:t xml:space="preserve">Obligatorisk språkutbildning med arbetspraktik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Helsingborg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i Helsingborg är 18,7 % (SCB 2025). Språkbrist är den största hindret enligt Arbetsförmedlingen. Kombinerad undervisning och praktik har gett goda resultat i andra skånska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Helsingborg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arbetsmarknadsnämnden ska införa obligatorisk SFI med minst 20 timmars arbetspraktik per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ska ordnas i samarbete med näringslivet.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ska följas upp efter sex månader.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lämnas till kommunfullmäktige.</w:t>
      </w:r>
    </w:p>
    <w:p>
      <w:pPr>
        <w:spacing w:before="360"/>
      </w:pPr>
    </w:p>
    <w:p>
      <w:r>
        <w:t xml:space="preserve">Helsingborg,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Helsingborg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2026-07-14T00:10:17.160Z</dcterms:created>
  <dcterms:modified xsi:type="dcterms:W3CDTF">2026-07-14T00:10:17.160Z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