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Helsingborg kommunfullmäktige</w:t>
      </w:r>
    </w:p>
    <w:p>
      <w:pPr>
        <w:pStyle w:val="Heading1"/>
      </w:pPr>
      <w:r>
        <w:t xml:space="preserve">Stärk familjecentraler i alla kommundelar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Helsingborg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Helsingborg har idag sex familjecentraler men täckningen är ojämn i områden som Råå och Ödåkra. Enligt barnkonventionen och kommunens egen kartläggning 2024 saknar 35 % av småbarnsföräldrar tillgång till föräldrautbildning. Forskning visar att tidigt stöd minskar senare insatser från socialtjänsten.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Helsingborg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ger socialnämnden i uppdrag att utöka antalet familjecentraler till minst tio stycken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varje familjecentral ska erbjuda minst en föräldrautbildningsgrupp per månad.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Region Skåne och civilsamhället formaliseras i avtal.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uppföljningsrapport lämnas till kommunfullmäktige.</w:t>
      </w:r>
    </w:p>
    <w:p>
      <w:pPr>
        <w:spacing w:before="360"/>
      </w:pPr>
    </w:p>
    <w:p>
      <w:r>
        <w:t xml:space="preserve">Helsingborg,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Helsingborg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2026-07-14T00:10:17.120Z</dcterms:created>
  <dcterms:modified xsi:type="dcterms:W3CDTF">2026-07-14T00:10:17.120Z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