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Hässleholm kommunfullmäktige</w:t>
      </w:r>
    </w:p>
    <w:p>
      <w:pPr>
        <w:pStyle w:val="Heading1"/>
      </w:pPr>
      <w:r>
        <w:t xml:space="preserve">Stöd till kyrkor och ideella föreningar som integrationsaktörer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Hässleholm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församlingar i Hässleholm bedriver språkcaféer och läxhjälp som når grupper som inte deltar i kommunens insatser. 2024 deltog över 300 personer i dessa verksamheter enligt Svenska kyrkan.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Hässleholm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400 000 kr årligen i bidrag till ideella aktörer som bedriver integrationsarbete.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bidraget fördelas efter tydliga kriterier om språkträning och samhällsorientering.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samordningsfunktion inrättas inom kultur- och fritidsförvaltningen.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en årlig integrationsrapport.</w:t>
      </w:r>
    </w:p>
    <w:p>
      <w:pPr>
        <w:spacing w:before="360"/>
      </w:pPr>
    </w:p>
    <w:p>
      <w:r>
        <w:t xml:space="preserve">Hässleholm,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Hässleholm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2026-07-14T00:17:24.378Z</dcterms:created>
  <dcterms:modified xsi:type="dcterms:W3CDTF">2026-07-14T00:17:24.378Z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