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Båstad kommunfullmäktige</w:t>
      </w:r>
    </w:p>
    <w:p>
      <w:pPr>
        <w:pStyle w:val="Heading1"/>
      </w:pPr>
      <w:r>
        <w:t xml:space="preserve">Effektivisera kommunens ekonomi och granska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Båstad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Båstads kommun har haft ökade kostnader för externa konsulter enligt revisionsrapport 2025. Välfärden behöver prioriteras framför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Båstad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tak för externa konsultkostnader på 2 mnkr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oberoende granskning av kommunens projektportfölj genomförs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besparingar återförs till hemtjänst och 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delårsrapporten 2027.</w:t>
      </w:r>
    </w:p>
    <w:p>
      <w:pPr>
        <w:spacing w:before="360"/>
      </w:pPr>
    </w:p>
    <w:p>
      <w:r>
        <w:t xml:space="preserve">Båstad,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Båstad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2026-07-13T23:45:06.849Z</dcterms:created>
  <dcterms:modified xsi:type="dcterms:W3CDTF">2026-07-13T23:45:06.849Z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