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Mjölby kommunfullmäktige</w:t>
      </w:r>
    </w:p>
    <w:p>
      <w:pPr>
        <w:pStyle w:val="Heading1"/>
      </w:pPr>
      <w:r>
        <w:t xml:space="preserve">Stöd till lokala nattvandringar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Mjölby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2023 visar att invånare i Mjölby och Mantorp upplever ökad otrygghet kopplat till ungdomsgrupper kvällstid. Nattvandringar har visat sig vara ett effektivt brottsförebyggande verktyg i flera kommuner. Lokala föreningar har uttryckt intresse men saknar ekonomiskt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Mjölby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150 000 kronor per år till stöd för organiserade nattvandringar i Mjölby, Mantorp och Skänninge.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medlen fördelas via kulturnämnden i samverkan med polisen och lokala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samordnare tillsätts på deltid för att stödja rekrytering och utbildning av nattvandrare.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årligen med statistik från polisen och trygghetsmätningar.</w:t>
      </w:r>
    </w:p>
    <w:p>
      <w:pPr>
        <w:spacing w:before="360"/>
      </w:pPr>
    </w:p>
    <w:p>
      <w:r>
        <w:t xml:space="preserve">Mjölby,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Mjölby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2026-07-14T00:49:52.897Z</dcterms:created>
  <dcterms:modified xsi:type="dcterms:W3CDTF">2026-07-14T00:49:52.897Z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