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Linköping kommunfullmäktige</w:t>
      </w:r>
    </w:p>
    <w:p>
      <w:pPr>
        <w:pStyle w:val="Heading1"/>
      </w:pPr>
      <w:r>
        <w:t xml:space="preserve">Ökat stöd till föreningsliv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Linköpings landsbygdsområden har färre idrotts- och kulturföreningar än tätorten. Ökat stöd stärker gemenskap, hälsa och integration enligt kommunens landsbygdsstrategi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bidraget till föreningar verksamma på landsbygden med 25 %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landsbygdsbidrag införs för lokala arrangemang.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500 000 kronor avsätts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kultur- och fritidsnämnden redovisar effekter på deltagande och föreningslivets ekonomi.</w:t>
      </w:r>
    </w:p>
    <w:p>
      <w:pPr>
        <w:spacing w:before="360"/>
      </w:pPr>
    </w:p>
    <w:p>
      <w:r>
        <w:t xml:space="preserve">Linköping,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2026-07-14T00:40:39.328Z</dcterms:created>
  <dcterms:modified xsi:type="dcterms:W3CDTF">2026-07-14T00:40:39.328Z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