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Finspång kommunfullmäktige</w:t>
      </w:r>
    </w:p>
    <w:p>
      <w:pPr>
        <w:pStyle w:val="Heading1"/>
      </w:pPr>
      <w:r>
        <w:t xml:space="preserve">Garantera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Finspång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Finspångs landsbygd riskerar skolnedläggningar och sämre vägar enligt kommunens översiktsplan 2025. 35 % av invånarna bor utanför tätorten.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Finspång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servicegaranti för landsbygden med bibehållna 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väginvesteringar på landsbygden i budgeten.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stödja mobila tjänster för äldre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servicegarantin efter två år.</w:t>
      </w:r>
    </w:p>
    <w:p>
      <w:pPr>
        <w:spacing w:before="360"/>
      </w:pPr>
    </w:p>
    <w:p>
      <w:r>
        <w:t xml:space="preserve">Finspång,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Finspång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2026-07-13T23:54:53.772Z</dcterms:created>
  <dcterms:modified xsi:type="dcterms:W3CDTF">2026-07-13T23:54:53.772Z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