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Nora kommunfullmäktige</w:t>
      </w:r>
    </w:p>
    <w:p>
      <w:pPr>
        <w:pStyle w:val="Heading1"/>
      </w:pPr>
      <w:r>
        <w:t xml:space="preserve">Inför familjecentral i Nora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Nora saknar samlad familjecentral. Enligt Kolada 2024 har 28 % av småbarnsföräldrar svårt att få stöd. Familjecentraler minskar risk för psykisk ohälsa hos barn (Socialstyrelsen). Lokalt behov stort i områden som Gyttorp och Åsby.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Nora kommunfullmäktige beslutar att utreda inrättande av en familjecentral med föräldrautbildning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placeras centralt med god tillgänglighet för landsbygdsbor.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samordnas med Region Örebro och civilsamhället.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pilotverksamhet startas senast 2027 med årlig uppföljning.</w:t>
      </w:r>
    </w:p>
    <w:p>
      <w:pPr>
        <w:spacing w:before="360"/>
      </w:pPr>
    </w:p>
    <w:p>
      <w:r>
        <w:t xml:space="preserve">Nora,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2026-07-14T00:55:17.338Z</dcterms:created>
  <dcterms:modified xsi:type="dcterms:W3CDTF">2026-07-14T00:55:17.338Z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