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Lindesberg kommunfullmäktige</w:t>
      </w:r>
    </w:p>
    <w:p>
      <w:pPr>
        <w:pStyle w:val="Heading1"/>
      </w:pPr>
      <w:r>
        <w:t xml:space="preserve">Införa obligatorisk samhällsorientering med språkkrav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Lindesberg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Sysselsättningsgraden bland utrikes födda i Lindesberg är 58 % (Arbetsförmedlingen 2024). Språk och kunskap om samhället är nycklar till integration och ansvar.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Lindesberg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obligatorisk samhällsorientering med språktest för nyanlända.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utbildningen kopplas till etableringsprogrammet.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civilsamhället bjuds in som samarbetspartner.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effekterna följs upp efter två år.</w:t>
      </w:r>
    </w:p>
    <w:p>
      <w:pPr>
        <w:spacing w:before="360"/>
      </w:pPr>
    </w:p>
    <w:p>
      <w:r>
        <w:t xml:space="preserve">Lindesberg,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Lindesberg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2026-07-14T00:40:02.962Z</dcterms:created>
  <dcterms:modified xsi:type="dcterms:W3CDTF">2026-07-14T00:40:02.962Z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