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Askersund kommunfullmäktige</w:t>
      </w:r>
    </w:p>
    <w:p>
      <w:pPr>
        <w:pStyle w:val="Heading1"/>
      </w:pPr>
      <w:r>
        <w:t xml:space="preserve">Mobilfria skoldagar i Askersunds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Askersund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Askersund ligger under länsgenomsnittet (meritvärde 225 enligt Skolverket 2024). Studiero saknas och mobilanvändning stör undervisningen. KD vill stärka värdegrund och kunskap.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Askersund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alla kommunala 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tillhandahåller låsbara skåp för mobiltelefoner.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stöd och fortbildning för att hantera mobilfria miljöer.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studiero och meritvärden utvärderas efter två år.</w:t>
      </w:r>
    </w:p>
    <w:p>
      <w:pPr>
        <w:spacing w:before="360"/>
      </w:pPr>
    </w:p>
    <w:p>
      <w:r>
        <w:t xml:space="preserve">Askersund,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Askersund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2026-07-13T23:34:36.791Z</dcterms:created>
  <dcterms:modified xsi:type="dcterms:W3CDTF">2026-07-13T23:34:36.791Z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