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Kiruna kommunfullmäktige</w:t>
      </w:r>
    </w:p>
    <w:p>
      <w:pPr>
        <w:pStyle w:val="Heading1"/>
      </w:pPr>
      <w:r>
        <w:t xml:space="preserve">Ökat stöd till civilsamhälle och kyrkor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Kiruna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 och kyrkor är viktiga för gemenskap i glesbygd. Kiruna kommun ger idag begränsat stöd jämfört med andra Norrlandskommuner.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Kiruna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Kiruna kommunfullmäktige beslutar att höja föreningsbidraget med 15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Kiruna kommunfullmäktige beslutar att införa ett särskilt bidrag för ideella insatser inom integration och ungdomsverksamhet.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Kiruna kommunfullmäktige beslutar att erbjuda kostnadsfria lokaler till ideella organisationer minst 20 timmar per månad.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Kiruna kommunfullmäktige beslutar att inkludera civilsamhället i kommunens välfärdsplanering.</w:t>
      </w:r>
    </w:p>
    <w:p>
      <w:pPr>
        <w:spacing w:before="360"/>
      </w:pPr>
    </w:p>
    <w:p>
      <w:r>
        <w:t xml:space="preserve">Kiruna,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Kiruna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2026-07-14T00:27:28.853Z</dcterms:created>
  <dcterms:modified xsi:type="dcterms:W3CDTF">2026-07-14T00:27:28.853Z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