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Växjö kommunfullmäktige</w:t>
      </w:r>
    </w:p>
    <w:p>
      <w:pPr>
        <w:pStyle w:val="Heading1"/>
      </w:pPr>
      <w:r>
        <w:t xml:space="preserve">Öka nattvandringar och civilsamhällesstöd mot brott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Växjö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 2024 visar att anmälda våldsbrott i Växjö ökat med 12 % sedan 2022, främst i Araby. Nattvandringar har visat goda resultat i andra kommuner. Kristdemokraterna vill stärka samverkan mellan polis, föreningar och kyrkor.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Växjö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avsätta 400 000 kr årligen till stöd för organiserade nattvandringar.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samverkansavtal upprättas med Polisen och ideella organisationer.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trygghetsvandringar genomförs minst fyra gånger per år i prioriterade områden.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resultaten redovisas i kommunens trygghetsrapport.</w:t>
      </w:r>
    </w:p>
    <w:p>
      <w:pPr>
        <w:spacing w:before="360"/>
      </w:pPr>
    </w:p>
    <w:p>
      <w:r>
        <w:t xml:space="preserve">Växjö,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Växjö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2026-07-14T01:56:33.973Z</dcterms:created>
  <dcterms:modified xsi:type="dcterms:W3CDTF">2026-07-14T01:56:33.973Z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