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Lessebo kommunfullmäktige</w:t>
      </w:r>
    </w:p>
    <w:p>
      <w:pPr>
        <w:pStyle w:val="Heading1"/>
      </w:pPr>
      <w:r>
        <w:t xml:space="preserve">Införa mobilförbud under lektionstid i kommunens 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Lessebo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Skolresultaten i Lessebo ligger under rikssnittet (meritvärde 210 enligt Kolada 2024). Studier visar att mobilanvändning stör studieron. Skolverket rekommenderar tydliga regler.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Lessebo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mobilförbud under all lektionstid i Lessebo, Hovmantorp och Skruv skolor.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skolorna ska tillhandahålla låsbara fack för 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lärare ges befogenhet att omhänderta telefoner vid överträdelse.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effekter på studiero genomförs efter ett läsår.</w:t>
      </w:r>
    </w:p>
    <w:p>
      <w:pPr>
        <w:spacing w:before="360"/>
      </w:pPr>
    </w:p>
    <w:p>
      <w:r>
        <w:t xml:space="preserve">Lessebo,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Lessebo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2026-07-14T00:37:58.450Z</dcterms:created>
  <dcterms:modified xsi:type="dcterms:W3CDTF">2026-07-14T00:37:58.450Z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