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Vimmerby kommunfullmäktige</w:t>
      </w:r>
    </w:p>
    <w:p>
      <w:pPr>
        <w:pStyle w:val="Heading1"/>
      </w:pPr>
      <w:r>
        <w:t xml:space="preserve">Mobilfria grundskolor i Vimmerby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Kristdemokraterna i Vimmerby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Skolverkets rapport 2025 visar att mobilanvändning stör studieron. Vimmerbys meritvärde ligger under rikssnittet (Kolada 232). Mobilförbud under lektionstid ökar fokus och trygghet.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Kristdemokraterna i Vimmerby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om mobilförbud under all schemalagd undervisning i kommunens grundskolor.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skolan ska tillhandahålla låsbara fack för telefoner.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lärarna ges mandat att omhänderta telefoner vid överträdelse.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en utvärdering av studiero görs efter ett läsår.</w:t>
      </w:r>
    </w:p>
    <w:p>
      <w:pPr>
        <w:spacing w:before="360"/>
      </w:pPr>
    </w:p>
    <w:p>
      <w:r>
        <w:t xml:space="preserve">Vimmerby,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Kristdemokraterna i Vimmerby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2026-07-14T01:50:55.259Z</dcterms:created>
  <dcterms:modified xsi:type="dcterms:W3CDTF">2026-07-14T01:50:55.259Z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