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Kalmar kommunfullmäktige</w:t>
      </w:r>
    </w:p>
    <w:p>
      <w:pPr>
        <w:pStyle w:val="Heading1"/>
      </w:pPr>
      <w:r>
        <w:t xml:space="preserve">Införande av familjecentraler i Kalmar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Kalmar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Kalmar saknar samlade familjecentraler trots att andelen barn i familjer med ekonomiskt bistånd ligger över länsgenomsnittet (Kolada 2024). Tidigt stöd till föräldrar minskar senare insatser enligt Socialstyrelsen. En familjecentral i varje kommundel stärker barnkonventionens intentioner och ger konkret föräldrautbildning.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Kalmar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minst två familjecentraler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familjecentralerna ska drivas i samverkan med Region Kalmar län och civilsamhället.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2,5 mnkr årligen för verksamhet och 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två år och redovisa resultat för fullmäktige.</w:t>
      </w:r>
    </w:p>
    <w:p>
      <w:pPr>
        <w:spacing w:before="360"/>
      </w:pPr>
    </w:p>
    <w:p>
      <w:r>
        <w:t xml:space="preserve">Kalmar,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Kalmar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2026-07-14T00:22:35.174Z</dcterms:created>
  <dcterms:modified xsi:type="dcterms:W3CDTF">2026-07-14T00:22:35.174Z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