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Hultsfred kommunfullmäktige</w:t>
      </w:r>
    </w:p>
    <w:p>
      <w:pPr>
        <w:pStyle w:val="Heading1"/>
      </w:pPr>
      <w:r>
        <w:t xml:space="preserve">Inrätta familjecentral i Hultsfred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Hultsfred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Hultsfred saknar samlad familjecentral trots ökande behov av tidigt föräldrastöd. Enligt Region Kalmar har 15 % av småbarnsföräldrar psykisk ohälsa. En familjecentral stärker barnkonventionen och förebygger senare insatser. Kommunen har lokaler i före detta BVC.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Hultsfred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Hultsfred med start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familjecentralen ska samla MVC, BVC, öppen förskola och föräldrautbildning under ett tak.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finansieras inom befintlig budgetram för socialtjänsten.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sker efter två år med fokus på deltagande och föräldrars upplevelse.</w:t>
      </w:r>
    </w:p>
    <w:p>
      <w:pPr>
        <w:spacing w:before="360"/>
      </w:pPr>
    </w:p>
    <w:p>
      <w:r>
        <w:t xml:space="preserve">Hultsfred,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Hultsfred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2026-07-14T00:13:30.654Z</dcterms:created>
  <dcterms:modified xsi:type="dcterms:W3CDTF">2026-07-14T00:13:30.654Z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