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Borgholm kommunfullmäktige</w:t>
      </w:r>
    </w:p>
    <w:p>
      <w:pPr>
        <w:pStyle w:val="Heading1"/>
      </w:pPr>
      <w:r>
        <w:t xml:space="preserve">Granska slöseri i kommunens evenemangskostnader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Borgholm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evenemangskostnader har ökat utan tydlig koppling till invånarnas nytta. Kristdemokraterna vill prioritera välfärd och granska onödiga utgifter.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Borgholm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tillsätta en oberoende granskning av evenemangskostnader 2022–2025.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redovisa granskningen senast 2027-03-31.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samhällsnytta-bedömning före beslut om större evenemang.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eventuella besparingar ska återföras till äldreomsorg och skola.</w:t>
      </w:r>
    </w:p>
    <w:p>
      <w:pPr>
        <w:spacing w:before="360"/>
      </w:pPr>
    </w:p>
    <w:p>
      <w:r>
        <w:t xml:space="preserve">Borgholm,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Borgholm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2026-07-13T23:40:28.399Z</dcterms:created>
  <dcterms:modified xsi:type="dcterms:W3CDTF">2026-07-13T23:40:28.399Z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