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Tranås kommunfullmäktige</w:t>
      </w:r>
    </w:p>
    <w:p>
      <w:pPr>
        <w:pStyle w:val="Heading1"/>
      </w:pPr>
      <w:r>
        <w:t xml:space="preserve">Granska kommunal ekonomi för välfärd före symbolprojekt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Tranås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budget 2025 visar 18 mnkr underskott. KD prioriterar välfärd framför kostsamma prestigeprojekt. En oberoende granskning kan identifiera besparingar utan kvalitetsförsämring.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Tranås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extern granskning av kommunens investeringar 2023–2025.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välfärdsverksamhet i budget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redovisa kostnader för symbolprojekt separat.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införa ett stopp för nya stora investeringar utan finansiering.</w:t>
      </w:r>
    </w:p>
    <w:p>
      <w:pPr>
        <w:spacing w:before="360"/>
      </w:pPr>
    </w:p>
    <w:p>
      <w:r>
        <w:t xml:space="preserve">Tranås,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Tranås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2026-07-14T01:36:45.467Z</dcterms:created>
  <dcterms:modified xsi:type="dcterms:W3CDTF">2026-07-14T01:36:45.467Z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