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Tranås kommunfullmäktige</w:t>
      </w:r>
    </w:p>
    <w:p>
      <w:pPr>
        <w:pStyle w:val="Heading1"/>
      </w:pPr>
      <w:r>
        <w:t xml:space="preserve">Säkerställ service, vägar och skolor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Tranås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Tranås landsbygd har 28 % av befolkningen men lägre tillgång till service (Svenskt Näringsliv 2025). Vägarna i södra delen är i dåligt skick enligt Trafikverket. Skolnedläggningar hotar små orter.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Tranås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behålla befintliga grundskolor på landsbygden.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4 mnkr för underhåll av grusvägar 2027–2028.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utreda mobil servicepunkt i Boxholm och Södra Tranås.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prioritera landsbygdsboende vid hemtjänstplanering.</w:t>
      </w:r>
    </w:p>
    <w:p>
      <w:pPr>
        <w:spacing w:before="360"/>
      </w:pPr>
    </w:p>
    <w:p>
      <w:r>
        <w:t xml:space="preserve">Tranås,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Tranås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2026-07-14T01:36:45.457Z</dcterms:created>
  <dcterms:modified xsi:type="dcterms:W3CDTF">2026-07-14T01:36:45.457Z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