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Tranås kommunfullmäktige</w:t>
      </w:r>
    </w:p>
    <w:p>
      <w:pPr>
        <w:pStyle w:val="Heading1"/>
      </w:pPr>
      <w:r>
        <w:t xml:space="preserve">Garantera kontinuitet och rimlig tid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Tranås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72 % av hemtjänstbesöken i Tranås utförs av samma personal (Kolada 2024), lägre än länsgenomsnittet. Brukarundersökningen 2024 visar att 28 % upplever stressad personal. Kontinuitet är avgörande för trygghet enligt Socialstyrelsen.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Tranås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minst 85 % kontinuitet i hemtjänsten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minst 30 minuters besökstid per insats där så behövs.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schemaläggning som prioriterar fasta team per brukare.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kontinuitetsstatistik kvartalsvis till socialnämnden.</w:t>
      </w:r>
    </w:p>
    <w:p>
      <w:pPr>
        <w:spacing w:before="360"/>
      </w:pPr>
    </w:p>
    <w:p>
      <w:r>
        <w:t xml:space="preserve">Tranås,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Tranås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2026-07-14T01:36:45.389Z</dcterms:created>
  <dcterms:modified xsi:type="dcterms:W3CDTF">2026-07-14T01:36:45.389Z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