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Ragunda kommunfullmäktige</w:t>
      </w:r>
    </w:p>
    <w:p>
      <w:pPr>
        <w:pStyle w:val="Heading1"/>
      </w:pPr>
      <w:r>
        <w:t xml:space="preserve">Starta nattvandring i samarbete med civilsamhället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Ragunda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rapporterar ökad oro för brott i glesbygd. Ragunda saknar organiserad nattvandring. Samverkan med kyrkor och idrottsföreningar kan stärka tryggheten.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Ragunda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Ragunda kommunfullmäktige beslutar att starta ett nattvandrarprogram i Hammarstrand och Bispgården.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ska bidra med utbildning och reflexvästar till frivilliga.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ska ske med polis och lokala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12 månader.</w:t>
      </w:r>
    </w:p>
    <w:p>
      <w:pPr>
        <w:spacing w:before="360"/>
      </w:pPr>
    </w:p>
    <w:p>
      <w:r>
        <w:t xml:space="preserve">Ragunda,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Ragunda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2026-07-14T01:09:08.401Z</dcterms:created>
  <dcterms:modified xsi:type="dcterms:W3CDTF">2026-07-14T01:09:08.401Z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