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Östersund kommunfullmäktige</w:t>
      </w:r>
    </w:p>
    <w:p>
      <w:pPr>
        <w:pStyle w:val="Heading1"/>
      </w:pPr>
      <w:r>
        <w:t xml:space="preserve">Stöd till idrott och kultur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Östersund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på landsbygden i Östersund har svårt att överleva utan extra stöd. Kommunens budget 2025 visar begränsade anslag till glesbygdsföreningar. Ett levande civilsamhälle stärker integration och 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Östersund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särskilt landsbygdsstöd till idrotts- och kulturföreningar.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stödet kan användas för lokaler, transporter och ledarutbildning.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prioritering ges till föreningar som arbetar med barn och unga.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ansökningsprocessen görs enkel och digital.</w:t>
      </w:r>
    </w:p>
    <w:p>
      <w:pPr>
        <w:spacing w:before="360"/>
      </w:pPr>
    </w:p>
    <w:p>
      <w:r>
        <w:t xml:space="preserve">Östersund,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Östersund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2026-07-14T02:07:19.042Z</dcterms:created>
  <dcterms:modified xsi:type="dcterms:W3CDTF">2026-07-14T02:07:19.042Z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