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Härjedalen kommunfullmäktige</w:t>
      </w:r>
    </w:p>
    <w:p>
      <w:pPr>
        <w:pStyle w:val="Heading1"/>
      </w:pPr>
      <w:r>
        <w:t xml:space="preserve">Bevara och utveckla byskolorna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Härjedalen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Flera byskolor hotas av nedläggning trots sjunkande elevunderlag. Skolresultaten i Härjedalen ligger under rikssnittet (meritvärde 225 enligt Kolada 2024). Små skolor ger trygghet och studiero för barn på landsbygden.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Härjedalen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ingen byskola läggs ned utan fullmäktigebeslut.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uppdrar åt barn- och utbildningsnämnden att ta fram en utvecklingsplan för byskolorna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avsätter medel för digitala hjälpmedel och lärarstöd i små skolor.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utreder samverkan med närliggande kommuner för gemensamma resurser.</w:t>
      </w:r>
    </w:p>
    <w:p>
      <w:pPr>
        <w:spacing w:before="360"/>
      </w:pPr>
    </w:p>
    <w:p>
      <w:r>
        <w:t xml:space="preserve">Härjedalen,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Härjedalen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2026-07-14T00:15:41.349Z</dcterms:created>
  <dcterms:modified xsi:type="dcterms:W3CDTF">2026-07-14T00:15:41.349Z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