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Bräcke kommunfullmäktige</w:t>
      </w:r>
    </w:p>
    <w:p>
      <w:pPr>
        <w:pStyle w:val="Heading1"/>
      </w:pPr>
      <w:r>
        <w:t xml:space="preserve">Granskning av kommunal ekonomi och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Bräcke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har ett budgetunderskott på 12 mnkr 2025. Kristdemokraterna vill prioritera välfärd framför symbolprojekt och granska ineffektivitet.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Bräcke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kommunens utgifter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stopp för nya symbolprojekt utan välfärdseffekt.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redovisa besparingsförslag som inte påverkar kärnverksamhet.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äldreomsorg och skola i budget 2027.</w:t>
      </w:r>
    </w:p>
    <w:p>
      <w:pPr>
        <w:spacing w:before="360"/>
      </w:pPr>
    </w:p>
    <w:p>
      <w:r>
        <w:t xml:space="preserve">Bräcke,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Bräcke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2026-07-13T23:44:05.433Z</dcterms:created>
  <dcterms:modified xsi:type="dcterms:W3CDTF">2026-07-13T23:44:05.433Z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