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Gotland kommunfullmäktige</w:t>
      </w:r>
    </w:p>
    <w:p>
      <w:pPr>
        <w:pStyle w:val="Heading1"/>
      </w:pPr>
      <w:r>
        <w:t xml:space="preserve">Öka stödet till idrotts- och kulturföreningar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Gotland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på landsbygden kämpar med stigande kostnader. Gotland har stark tradition av civilsamhälle som bidrar till integration och hälsa. Ökat stöd stärker lokalsamhället.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Gotland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Region Gotland höjer föreningsbidragen med 10 %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extra medel riktas till föreningar utanför Visby.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kultur- och idrottsarrangemang prioriteras i evenemangsbidrag.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utvärderas i föreningsenkät 2028.</w:t>
      </w:r>
    </w:p>
    <w:p>
      <w:pPr>
        <w:spacing w:before="360"/>
      </w:pPr>
    </w:p>
    <w:p>
      <w:r>
        <w:t xml:space="preserve">Gotland,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Gotland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2026-07-13T23:59:21.507Z</dcterms:created>
  <dcterms:modified xsi:type="dcterms:W3CDTF">2026-07-13T23:59:21.507Z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