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Rättvik kommunfullmäktige</w:t>
      </w:r>
    </w:p>
    <w:p>
      <w:pPr>
        <w:pStyle w:val="Heading1"/>
      </w:pPr>
      <w:r>
        <w:t xml:space="preserve">Granska slöseri i kommunens ekonomi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Rättvik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Rättviks budget 2025 visar ökade kostnader för administration. KD vill prioritera välfärd framför symbolprojekt.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Rättvik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Rättviks kommunfullmäktige beslutar att tillsätta en oberoende granskning av administrativa kostnader.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besparingar ska återföras till hemtjänst och skola.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resultatet presenteras för fullmäktige senast juni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uppföljning sker i budgetprocessen 2028.</w:t>
      </w:r>
    </w:p>
    <w:p>
      <w:pPr>
        <w:spacing w:before="360"/>
      </w:pPr>
    </w:p>
    <w:p>
      <w:r>
        <w:t xml:space="preserve">Rättvik,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Rättvik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2026-07-14T01:10:48.937Z</dcterms:created>
  <dcterms:modified xsi:type="dcterms:W3CDTF">2026-07-14T01:10:48.937Z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