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Rättvik kommunfullmäktige</w:t>
      </w:r>
    </w:p>
    <w:p>
      <w:pPr>
        <w:pStyle w:val="Heading1"/>
      </w:pPr>
      <w:r>
        <w:t xml:space="preserve">Etablera familjecentral i Rättvik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Rättvik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Rättvik saknar samlad familjecentral trots ökade behov av föräldrautbildning och tidigt stöd. Barnkonventionen och KD:s prioritering av familjen motiverar åtgärden.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Rättvik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Rättviks kommunfullmäktige beslutar att inrätta en familjecentral i centralorten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samlokaliseras med MVC, BVC och öppen förskola.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föräldrautbildningar och samtalsgrupper erbjuds kostnadsfritt.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kyrkor och föreningsliv formaliseras.</w:t>
      </w:r>
    </w:p>
    <w:p>
      <w:pPr>
        <w:spacing w:before="360"/>
      </w:pPr>
    </w:p>
    <w:p>
      <w:r>
        <w:t xml:space="preserve">Rättvik,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Rättvik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2026-07-14T01:10:48.889Z</dcterms:created>
  <dcterms:modified xsi:type="dcterms:W3CDTF">2026-07-14T01:10:48.889Z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