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Malung-Sälen kommunfullmäktige</w:t>
      </w:r>
    </w:p>
    <w:p>
      <w:pPr>
        <w:pStyle w:val="Heading1"/>
      </w:pPr>
      <w:r>
        <w:t xml:space="preserve">Oberoende granskning av kommunens ekonomiska prioriteringar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Malung-Sälen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budget 2025 visar underskott i välfärden samtidigt som symbolprojekt prioriteras. KD vill säkerställa att skattepengar går till kärnverksamhet.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Malung-Sälen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tillsätter en oberoende granskning av budgetprioriteringar 2025–2026.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särskilt belyser äldreomsorg och skola.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presenteras för fullmäktige senast mars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slöseriåtgärder föreslås och följs upp.</w:t>
      </w:r>
    </w:p>
    <w:p>
      <w:pPr>
        <w:spacing w:before="360"/>
      </w:pPr>
    </w:p>
    <w:p>
      <w:r>
        <w:t xml:space="preserve">Malung-Sälen,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Malung-Sälen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2026-07-14T00:46:52.844Z</dcterms:created>
  <dcterms:modified xsi:type="dcterms:W3CDTF">2026-07-14T00:46:52.844Z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