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Malung-Sälen kommunfullmäktige</w:t>
      </w:r>
    </w:p>
    <w:p>
      <w:pPr>
        <w:pStyle w:val="Heading1"/>
      </w:pPr>
      <w:r>
        <w:t xml:space="preserve">Ökat stöd till idrotts- och kyrkoföreningar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Malung-Sälen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Malung-Sälen är starkt men ekonomiskt pressat. KD vill stärka civilsamhället som bärare av värdegrund och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Malung-Sälen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höjer föreningsbidraget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kyrkor och ideella aktörer inkluderas i trygghetsskapande arbete.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idrottsföreningar i Sälen ges särskilt stöd för ungdomsverksamhet.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dialog träffas med företrädare för civilsamhället.</w:t>
      </w:r>
    </w:p>
    <w:p>
      <w:pPr>
        <w:spacing w:before="360"/>
      </w:pPr>
    </w:p>
    <w:p>
      <w:r>
        <w:t xml:space="preserve">Malung-Sälen,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Malung-Sälen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2026-07-14T00:46:52.826Z</dcterms:created>
  <dcterms:modified xsi:type="dcterms:W3CDTF">2026-07-14T00:46:52.826Z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