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Gagnef kommunfullmäktige</w:t>
      </w:r>
    </w:p>
    <w:p>
      <w:pPr>
        <w:pStyle w:val="Heading1"/>
      </w:pPr>
      <w:r>
        <w:t xml:space="preserve">Granska kommunens ekonomiska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Gagnef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Gagnefs budget uppvisar ökade kostnader för externa konsulter utan tydlig nytta (revisionsrapport 2025). Välfärd ska gå före symbolprojekt. Ansvarsfull ekonomi är KD:s kärna.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Gagnef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konsultkostnader 2024–2026.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införa krav på kostnads-nyttoanalys vid större upphandlingar.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redovisa besparingspotential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prioritera kärnverksamhet i alla ekonomiska beslut.</w:t>
      </w:r>
    </w:p>
    <w:p>
      <w:pPr>
        <w:spacing w:before="360"/>
      </w:pPr>
    </w:p>
    <w:p>
      <w:r>
        <w:t xml:space="preserve">Gagnef,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Gagnef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2026-07-13T23:57:04.450Z</dcterms:created>
  <dcterms:modified xsi:type="dcterms:W3CDTF">2026-07-13T23:57:04.450Z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