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Falun kommunfullmäktige</w:t>
      </w:r>
    </w:p>
    <w:p>
      <w:pPr>
        <w:pStyle w:val="Heading1"/>
      </w:pPr>
      <w:r>
        <w:t xml:space="preserve">Höj stödet till civilsamhället och föreningslivet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Falun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Föreningsbidragen i Falun har minskat realt med 12 % sedan 2022 (kommunbudget). Starkt civilsamhälle är grund för integration och 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Falun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det generella föreningsstödet med 1,2 mnkr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kyrkor och ideella organisationer ska kunna söka projektmedel för social 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bidragsregler ska förenklas och handläggningstiden halveras.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redovisning av effekter lämnas till kultur- och fritidsnämnden.</w:t>
      </w:r>
    </w:p>
    <w:p>
      <w:pPr>
        <w:spacing w:before="360"/>
      </w:pPr>
    </w:p>
    <w:p>
      <w:r>
        <w:t xml:space="preserve">Falun,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Falun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2026-07-13T23:53:51.802Z</dcterms:created>
  <dcterms:modified xsi:type="dcterms:W3CDTF">2026-07-13T23:53:51.802Z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