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Ronneby kommunfullmäktige</w:t>
      </w:r>
    </w:p>
    <w:p>
      <w:pPr>
        <w:pStyle w:val="Heading1"/>
      </w:pPr>
      <w:r>
        <w:t xml:space="preserve">Inför familjecentral i Bräkne-Hoby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Ronneby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Ronneby kommun saknar familjecentral öster om tätorten. Enligt Kolada 2024 har Bräkne-Hoby högre andel barn i utsatta familjer än kommunsnittet. Föräldrautbildning och tidigt stöd minskar senare insatser enligt Socialstyrelsen. En lokal familjecentral stärker barnkonventionen och ger stöd nära hemmet.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Ronneby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Bräkne-Hoby med start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samlokaliseras med befintlig barnhälsovård och öppen förskola.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minst två föräldrautbildningsgrupper startas per termin.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verksamheten redovisas för kommunfullmäktige senast 2028.</w:t>
      </w:r>
    </w:p>
    <w:p>
      <w:pPr>
        <w:spacing w:before="360"/>
      </w:pPr>
    </w:p>
    <w:p>
      <w:r>
        <w:t xml:space="preserve">Ronneby,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Ronneby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2026-07-14T01:10:18.322Z</dcterms:created>
  <dcterms:modified xsi:type="dcterms:W3CDTF">2026-07-14T01:10:18.322Z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